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1A" w:rsidRPr="005B3F60" w:rsidRDefault="005B3F60" w:rsidP="00167640">
      <w:pPr>
        <w:pStyle w:val="NormalWeb"/>
        <w:spacing w:before="0" w:beforeAutospacing="0" w:after="0" w:afterAutospacing="0"/>
        <w:ind w:firstLine="709"/>
        <w:contextualSpacing/>
      </w:pPr>
      <w:r>
        <w:rPr>
          <w:b/>
          <w:bCs/>
        </w:rPr>
        <w:t>TRIBUTO:</w:t>
      </w:r>
      <w:r w:rsidR="009F771A" w:rsidRPr="005B3F60">
        <w:rPr>
          <w:rStyle w:val="apple-converted-space"/>
        </w:rPr>
        <w:t> </w:t>
      </w:r>
      <w:r w:rsidR="009F771A" w:rsidRPr="005B3F60">
        <w:t>é toda prestação pecuniária compulsória, em moeda ou cujo valor nela se possa exprimir, que não constitua sanção de ato ilícito, instituída em lei e cobrada mediante atividade administrativa plenamente vinculada.</w:t>
      </w:r>
      <w:r w:rsidR="009F771A" w:rsidRPr="005B3F60">
        <w:rPr>
          <w:rStyle w:val="apple-converted-space"/>
        </w:rPr>
        <w:t> </w:t>
      </w:r>
      <w:r w:rsidR="009F771A" w:rsidRPr="005B3F60">
        <w:rPr>
          <w:b/>
          <w:bCs/>
        </w:rPr>
        <w:t>Tributo</w:t>
      </w:r>
      <w:r w:rsidR="009F771A" w:rsidRPr="005B3F60">
        <w:rPr>
          <w:rStyle w:val="apple-converted-space"/>
        </w:rPr>
        <w:t> </w:t>
      </w:r>
      <w:r w:rsidR="009F771A" w:rsidRPr="005B3F60">
        <w:t xml:space="preserve">é a obrigação imposta </w:t>
      </w:r>
      <w:r w:rsidR="00670A8E" w:rsidRPr="005B3F60">
        <w:t>às</w:t>
      </w:r>
      <w:r w:rsidR="009F771A" w:rsidRPr="005B3F60">
        <w:t xml:space="preserve"> pessoas </w:t>
      </w:r>
      <w:r w:rsidR="00670A8E" w:rsidRPr="005B3F60">
        <w:t>físicas</w:t>
      </w:r>
      <w:r w:rsidR="009F771A" w:rsidRPr="005B3F60">
        <w:t xml:space="preserve"> e</w:t>
      </w:r>
      <w:r w:rsidR="009F771A" w:rsidRPr="005B3F60">
        <w:rPr>
          <w:rStyle w:val="apple-converted-space"/>
        </w:rPr>
        <w:t> </w:t>
      </w:r>
      <w:hyperlink r:id="rId5" w:tooltip="Pessoa jurídica" w:history="1">
        <w:r w:rsidR="009F771A" w:rsidRPr="005B3F60">
          <w:rPr>
            <w:rStyle w:val="Hyperlink"/>
            <w:color w:val="auto"/>
            <w:u w:val="none"/>
          </w:rPr>
          <w:t>pessoas jurídicas</w:t>
        </w:r>
      </w:hyperlink>
      <w:r w:rsidR="009F771A" w:rsidRPr="005B3F60">
        <w:rPr>
          <w:rStyle w:val="apple-converted-space"/>
        </w:rPr>
        <w:t> </w:t>
      </w:r>
      <w:r w:rsidR="009F771A" w:rsidRPr="005B3F60">
        <w:t>de recolher valores ao Estado, ou entidades equivalentes</w:t>
      </w:r>
      <w:r w:rsidR="00670A8E">
        <w:t>.</w:t>
      </w:r>
      <w:r w:rsidR="009F771A" w:rsidRPr="005B3F60">
        <w:t xml:space="preserve"> É vulgarmente chamado por</w:t>
      </w:r>
      <w:r w:rsidR="009F771A" w:rsidRPr="005B3F60">
        <w:rPr>
          <w:rStyle w:val="apple-converted-space"/>
        </w:rPr>
        <w:t> </w:t>
      </w:r>
      <w:hyperlink r:id="rId6" w:tooltip="Imposto" w:history="1">
        <w:r w:rsidR="009F771A" w:rsidRPr="005B3F60">
          <w:rPr>
            <w:rStyle w:val="Hyperlink"/>
            <w:color w:val="auto"/>
            <w:u w:val="none"/>
          </w:rPr>
          <w:t>imposto</w:t>
        </w:r>
      </w:hyperlink>
      <w:r w:rsidR="009F771A" w:rsidRPr="005B3F60">
        <w:t>, embora tecnicamente este seja mera espécie dentre as modalidades de tributos.</w:t>
      </w:r>
    </w:p>
    <w:p w:rsidR="00670A8E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 xml:space="preserve">Excluídos do conceito de tributo estão todas as obrigações que resultem de </w:t>
      </w:r>
      <w:r w:rsidR="00670A8E">
        <w:t>aplicação de pena ou sanção (EX.</w:t>
      </w:r>
      <w:r w:rsidRPr="005B3F60">
        <w:t xml:space="preserve"> multa de trânsito), os tributos sempre são obrigações que resultam de um fato regular ocorrido.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Os tributos podem ser pagos em</w:t>
      </w:r>
      <w:r w:rsidRPr="005B3F60">
        <w:rPr>
          <w:rStyle w:val="apple-converted-space"/>
        </w:rPr>
        <w:t> </w:t>
      </w:r>
      <w:hyperlink r:id="rId7" w:tooltip="Dinheiro" w:history="1">
        <w:r w:rsidRPr="005B3F60">
          <w:rPr>
            <w:rStyle w:val="Hyperlink"/>
            <w:color w:val="auto"/>
            <w:u w:val="none"/>
          </w:rPr>
          <w:t>dinheiro</w:t>
        </w:r>
      </w:hyperlink>
      <w:r w:rsidRPr="005B3F60">
        <w:rPr>
          <w:rStyle w:val="apple-converted-space"/>
        </w:rPr>
        <w:t> </w:t>
      </w:r>
      <w:r w:rsidRPr="005B3F60">
        <w:t>ou em</w:t>
      </w:r>
      <w:r w:rsidRPr="005B3F60">
        <w:rPr>
          <w:rStyle w:val="apple-converted-space"/>
        </w:rPr>
        <w:t> </w:t>
      </w:r>
      <w:hyperlink r:id="rId8" w:tooltip="Trabalho" w:history="1">
        <w:r w:rsidRPr="005B3F60">
          <w:rPr>
            <w:rStyle w:val="Hyperlink"/>
            <w:color w:val="auto"/>
            <w:u w:val="none"/>
          </w:rPr>
          <w:t>trabalho</w:t>
        </w:r>
      </w:hyperlink>
      <w:r w:rsidRPr="005B3F60">
        <w:t>, como na figura</w:t>
      </w:r>
      <w:r w:rsidRPr="005B3F60">
        <w:rPr>
          <w:rStyle w:val="apple-converted-space"/>
        </w:rPr>
        <w:t> </w:t>
      </w:r>
      <w:hyperlink r:id="rId9" w:tooltip="Idade média" w:history="1">
        <w:r w:rsidRPr="005B3F60">
          <w:rPr>
            <w:rStyle w:val="Hyperlink"/>
            <w:color w:val="auto"/>
            <w:u w:val="none"/>
          </w:rPr>
          <w:t>medieval</w:t>
        </w:r>
      </w:hyperlink>
      <w:r w:rsidRPr="005B3F60">
        <w:rPr>
          <w:rStyle w:val="apple-converted-space"/>
        </w:rPr>
        <w:t> </w:t>
      </w:r>
      <w:r w:rsidRPr="005B3F60">
        <w:t>da</w:t>
      </w:r>
      <w:r w:rsidRPr="005B3F60">
        <w:rPr>
          <w:rStyle w:val="apple-converted-space"/>
        </w:rPr>
        <w:t> </w:t>
      </w:r>
      <w:proofErr w:type="spellStart"/>
      <w:r w:rsidRPr="005B3F60">
        <w:fldChar w:fldCharType="begin"/>
      </w:r>
      <w:r w:rsidRPr="005B3F60">
        <w:instrText xml:space="preserve"> HYPERLINK "http://pt.wikipedia.org/wiki/Corv%C3%A9ia" \o "Corvéia" </w:instrText>
      </w:r>
      <w:r w:rsidRPr="005B3F60">
        <w:fldChar w:fldCharType="separate"/>
      </w:r>
      <w:r w:rsidRPr="005B3F60">
        <w:rPr>
          <w:rStyle w:val="Hyperlink"/>
          <w:color w:val="auto"/>
          <w:u w:val="none"/>
        </w:rPr>
        <w:t>corvéia</w:t>
      </w:r>
      <w:proofErr w:type="spellEnd"/>
      <w:r w:rsidRPr="005B3F60">
        <w:fldChar w:fldCharType="end"/>
      </w:r>
      <w:r w:rsidRPr="005B3F60">
        <w:t xml:space="preserve">. Modernamente, nos sistemas tributários capitalistas, somente o dinheiro é aceito como pagamento, subsistindo a </w:t>
      </w:r>
      <w:proofErr w:type="spellStart"/>
      <w:r w:rsidRPr="005B3F60">
        <w:t>corvéia</w:t>
      </w:r>
      <w:proofErr w:type="spellEnd"/>
      <w:r w:rsidRPr="005B3F60">
        <w:t xml:space="preserve"> em Estados tradicionais e pré-capitalistas.</w:t>
      </w:r>
    </w:p>
    <w:p w:rsidR="00F7306B" w:rsidRDefault="00F7306B" w:rsidP="00167640">
      <w:pPr>
        <w:pStyle w:val="NormalWeb"/>
        <w:spacing w:before="0" w:beforeAutospacing="0" w:after="0" w:afterAutospacing="0"/>
        <w:ind w:firstLine="709"/>
        <w:contextualSpacing/>
        <w:rPr>
          <w:b/>
        </w:rPr>
      </w:pPr>
    </w:p>
    <w:p w:rsidR="009F771A" w:rsidRPr="005B3F60" w:rsidRDefault="00670A8E" w:rsidP="00167640">
      <w:pPr>
        <w:pStyle w:val="NormalWeb"/>
        <w:spacing w:before="0" w:beforeAutospacing="0" w:after="0" w:afterAutospacing="0"/>
        <w:ind w:firstLine="709"/>
        <w:contextualSpacing/>
      </w:pPr>
      <w:r w:rsidRPr="00670A8E">
        <w:rPr>
          <w:b/>
        </w:rPr>
        <w:t>SISTEMA TRIBUTÁRIO</w:t>
      </w:r>
      <w:r>
        <w:rPr>
          <w:b/>
        </w:rPr>
        <w:t xml:space="preserve"> </w:t>
      </w:r>
      <w:r w:rsidR="009F771A" w:rsidRPr="005B3F60">
        <w:t xml:space="preserve">Segundo </w:t>
      </w:r>
      <w:proofErr w:type="spellStart"/>
      <w:r w:rsidR="009F771A" w:rsidRPr="005B3F60">
        <w:t>Musgrave</w:t>
      </w:r>
      <w:proofErr w:type="spellEnd"/>
      <w:r w:rsidR="009F771A" w:rsidRPr="005B3F60">
        <w:t xml:space="preserve"> (1976)</w:t>
      </w:r>
      <w:proofErr w:type="gramStart"/>
      <w:r w:rsidR="009F771A" w:rsidRPr="005B3F60">
        <w:t>, entende-se</w:t>
      </w:r>
      <w:proofErr w:type="gramEnd"/>
      <w:r w:rsidR="009F771A" w:rsidRPr="005B3F60">
        <w:t xml:space="preserve"> por Sistema Tributário como sendo o complexo orgânico formado pelos tributos instituídos em um país ou região autônoma e os princípios e normas que os regem. Por </w:t>
      </w:r>
      <w:proofErr w:type="spellStart"/>
      <w:r w:rsidR="009F771A" w:rsidRPr="005B3F60">
        <w:t>conseqüência</w:t>
      </w:r>
      <w:proofErr w:type="spellEnd"/>
      <w:r w:rsidR="009F771A" w:rsidRPr="005B3F60">
        <w:t>, podemos concluir que o Sistema Tributário Brasileiro é composto dos tributos instituídos no Brasil, dos princípios e das normas que regulam tais tributos.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O</w:t>
      </w:r>
      <w:r w:rsidRPr="005B3F60">
        <w:rPr>
          <w:rStyle w:val="apple-converted-space"/>
        </w:rPr>
        <w:t> </w:t>
      </w:r>
      <w:hyperlink r:id="rId10" w:tooltip="Código Tributário Nacional" w:history="1">
        <w:r w:rsidRPr="005B3F60">
          <w:rPr>
            <w:rStyle w:val="Hyperlink"/>
            <w:color w:val="auto"/>
            <w:u w:val="none"/>
          </w:rPr>
          <w:t>Código Tributário Nacional</w:t>
        </w:r>
      </w:hyperlink>
      <w:r w:rsidRPr="005B3F60">
        <w:rPr>
          <w:rStyle w:val="apple-converted-space"/>
        </w:rPr>
        <w:t> </w:t>
      </w:r>
      <w:r w:rsidRPr="005B3F60">
        <w:t>Brasileiro, em seu art. 3º preceitua que "tributo" é "</w:t>
      </w:r>
      <w:r w:rsidRPr="005B3F60">
        <w:rPr>
          <w:i/>
          <w:iCs/>
        </w:rPr>
        <w:t>toda prestação pecuniária compulsória, em</w:t>
      </w:r>
      <w:r w:rsidRPr="005B3F60">
        <w:rPr>
          <w:rStyle w:val="apple-converted-space"/>
          <w:i/>
          <w:iCs/>
        </w:rPr>
        <w:t> </w:t>
      </w:r>
      <w:hyperlink r:id="rId11" w:tooltip="Moeda" w:history="1">
        <w:r w:rsidRPr="005B3F60">
          <w:rPr>
            <w:rStyle w:val="Hyperlink"/>
            <w:i/>
            <w:iCs/>
            <w:color w:val="auto"/>
            <w:u w:val="none"/>
          </w:rPr>
          <w:t>moeda</w:t>
        </w:r>
      </w:hyperlink>
      <w:r w:rsidRPr="005B3F60">
        <w:rPr>
          <w:rStyle w:val="apple-converted-space"/>
          <w:i/>
          <w:iCs/>
        </w:rPr>
        <w:t> </w:t>
      </w:r>
      <w:r w:rsidRPr="005B3F60">
        <w:rPr>
          <w:i/>
          <w:iCs/>
        </w:rPr>
        <w:t>ou cujo valor nela se possa exprimir, que não constitua sanção de ato ilícito, instituída em</w:t>
      </w:r>
      <w:r w:rsidRPr="005B3F60">
        <w:rPr>
          <w:rStyle w:val="apple-converted-space"/>
          <w:i/>
          <w:iCs/>
        </w:rPr>
        <w:t> </w:t>
      </w:r>
      <w:hyperlink r:id="rId12" w:tooltip="Lei" w:history="1">
        <w:r w:rsidRPr="005B3F60">
          <w:rPr>
            <w:rStyle w:val="Hyperlink"/>
            <w:i/>
            <w:iCs/>
            <w:color w:val="auto"/>
            <w:u w:val="none"/>
          </w:rPr>
          <w:t>lei</w:t>
        </w:r>
      </w:hyperlink>
      <w:r w:rsidRPr="005B3F60">
        <w:rPr>
          <w:rStyle w:val="apple-converted-space"/>
          <w:i/>
          <w:iCs/>
        </w:rPr>
        <w:t> </w:t>
      </w:r>
      <w:r w:rsidRPr="005B3F60">
        <w:rPr>
          <w:i/>
          <w:iCs/>
        </w:rPr>
        <w:t>e cobrada mediante atividade administrativa plenamente vinculada</w:t>
      </w:r>
      <w:r w:rsidRPr="005B3F60">
        <w:t>".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Os tributos formam a receita da União, Estados e Municípios e abrangem impostos, taxas, contribuições e empréstimo compulsórios.</w:t>
      </w:r>
      <w:r w:rsidR="00670A8E">
        <w:t xml:space="preserve"> </w:t>
      </w:r>
      <w:r w:rsidRPr="005B3F60">
        <w:t>Eles podem ser diretos ou indiretos.</w:t>
      </w:r>
      <w:r w:rsidR="00670A8E">
        <w:t xml:space="preserve"> </w:t>
      </w:r>
      <w:r w:rsidRPr="005B3F60">
        <w:t>No primeiro caso, são os contribuintes que devem arcar com a contribuição, como ocorre no Imposto de Renda.</w:t>
      </w:r>
      <w:r w:rsidR="00670A8E">
        <w:t xml:space="preserve"> </w:t>
      </w:r>
      <w:r w:rsidRPr="005B3F60">
        <w:t>Já os indiretos incidem sobre o preço das mercadorias e serviços.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Recente Emenda à Constituição brasileira inseriu a</w:t>
      </w:r>
      <w:r w:rsidRPr="005B3F60">
        <w:rPr>
          <w:rStyle w:val="apple-converted-space"/>
        </w:rPr>
        <w:t> </w:t>
      </w:r>
      <w:hyperlink r:id="rId13" w:tooltip="Contribuição de iluminação pública (página não existe)" w:history="1">
        <w:r w:rsidRPr="005B3F60">
          <w:rPr>
            <w:rStyle w:val="Hyperlink"/>
            <w:i/>
            <w:iCs/>
            <w:color w:val="auto"/>
            <w:u w:val="none"/>
          </w:rPr>
          <w:t>Contribuição de iluminação pública</w:t>
        </w:r>
      </w:hyperlink>
      <w:r w:rsidRPr="005B3F60">
        <w:rPr>
          <w:rStyle w:val="apple-converted-space"/>
        </w:rPr>
        <w:t> </w:t>
      </w:r>
      <w:r w:rsidRPr="005B3F60">
        <w:t>que, embora o STF ainda não tenha se manifestado sobre a sua natureza, acreditam os doutrinadores que se trata de uma</w:t>
      </w:r>
      <w:r w:rsidRPr="005B3F60">
        <w:rPr>
          <w:rStyle w:val="apple-converted-space"/>
        </w:rPr>
        <w:t> </w:t>
      </w:r>
      <w:r w:rsidRPr="005B3F60">
        <w:rPr>
          <w:i/>
          <w:iCs/>
        </w:rPr>
        <w:t>contribuição</w:t>
      </w:r>
      <w:r w:rsidRPr="005B3F60">
        <w:t>.</w:t>
      </w:r>
    </w:p>
    <w:p w:rsidR="00670A8E" w:rsidRDefault="00670A8E" w:rsidP="00167640">
      <w:pPr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34D5" w:rsidRPr="005B3F60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rPr>
          <w:rStyle w:val="Forte"/>
        </w:rPr>
        <w:t>TIPOS DE TRIBUTO</w:t>
      </w:r>
    </w:p>
    <w:p w:rsidR="003334D5" w:rsidRPr="005B3F60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É o fato gerador quem vai determinar a classificação da espécie tributária.</w:t>
      </w:r>
    </w:p>
    <w:p w:rsidR="00F7306B" w:rsidRDefault="00F7306B" w:rsidP="00167640">
      <w:pPr>
        <w:pStyle w:val="NormalWeb"/>
        <w:spacing w:before="0" w:beforeAutospacing="0" w:after="0" w:afterAutospacing="0"/>
        <w:ind w:firstLine="709"/>
        <w:contextualSpacing/>
        <w:rPr>
          <w:rStyle w:val="Forte"/>
        </w:rPr>
      </w:pPr>
    </w:p>
    <w:p w:rsidR="003334D5" w:rsidRPr="005B3F60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>
        <w:rPr>
          <w:rStyle w:val="Forte"/>
        </w:rPr>
        <w:t>FATO GERADOR</w:t>
      </w:r>
      <w:r w:rsidRPr="005B3F60">
        <w:t xml:space="preserve">: descrição hipotética do fato ou do conjunto de fatos na lei que, em ocorrendo tal hipótese no mundo concreto, gera a obrigação de pagar um determinado tributo. </w:t>
      </w:r>
      <w:proofErr w:type="gramStart"/>
      <w:r w:rsidRPr="005B3F60">
        <w:t>Exemplos de fato gerador</w:t>
      </w:r>
      <w:proofErr w:type="gramEnd"/>
      <w:r w:rsidRPr="005B3F60">
        <w:t>: auferir renda (imposto de renda); prestar alguma espécie de serviço a terceiro (ISS); entrada de produto estrangeiro em território nacional (imposto sobre importação); produzir um produto (IPI).</w:t>
      </w:r>
    </w:p>
    <w:p w:rsidR="003334D5" w:rsidRDefault="003334D5" w:rsidP="00167640">
      <w:pPr>
        <w:pStyle w:val="NormalWeb"/>
        <w:spacing w:before="0" w:beforeAutospacing="0" w:after="0" w:afterAutospacing="0"/>
        <w:ind w:firstLine="709"/>
        <w:contextualSpacing/>
      </w:pPr>
    </w:p>
    <w:p w:rsidR="00167640" w:rsidRDefault="00167640" w:rsidP="00167640">
      <w:pPr>
        <w:pStyle w:val="NormalWeb"/>
        <w:spacing w:before="0" w:beforeAutospacing="0" w:after="0" w:afterAutospacing="0"/>
        <w:ind w:firstLine="709"/>
        <w:contextualSpacing/>
      </w:pPr>
      <w:r>
        <w:t>São cinco os tipos de tributos:</w:t>
      </w:r>
    </w:p>
    <w:p w:rsidR="00167640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a) impostos;</w:t>
      </w:r>
    </w:p>
    <w:p w:rsidR="00167640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b) taxas;</w:t>
      </w:r>
    </w:p>
    <w:p w:rsidR="00167640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c) contribuição de melhoria;</w:t>
      </w:r>
    </w:p>
    <w:p w:rsidR="00167640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d) empréstimos compulsórios, e;</w:t>
      </w:r>
    </w:p>
    <w:p w:rsidR="003334D5" w:rsidRDefault="003334D5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e) contribuições sociais.</w:t>
      </w:r>
    </w:p>
    <w:p w:rsidR="003334D5" w:rsidRDefault="003334D5" w:rsidP="00167640">
      <w:pPr>
        <w:pStyle w:val="NormalWeb"/>
        <w:spacing w:before="0" w:beforeAutospacing="0" w:after="0" w:afterAutospacing="0"/>
        <w:ind w:firstLine="709"/>
        <w:contextualSpacing/>
        <w:rPr>
          <w:b/>
          <w:bCs/>
        </w:rPr>
      </w:pPr>
    </w:p>
    <w:p w:rsidR="009F771A" w:rsidRPr="009F771A" w:rsidRDefault="00670A8E" w:rsidP="00167640">
      <w:pPr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FUNÇÃO DOS TRIBUTOS</w:t>
      </w:r>
    </w:p>
    <w:p w:rsidR="009F771A" w:rsidRPr="009F771A" w:rsidRDefault="009F771A" w:rsidP="0016764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Brasil, os tributos podem ter função:</w:t>
      </w:r>
    </w:p>
    <w:p w:rsidR="009F771A" w:rsidRPr="009F771A" w:rsidRDefault="009F771A" w:rsidP="0016764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Fiscal: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tem como objetivo a arrecadação de recursos financeiros para o Estado.</w:t>
      </w:r>
      <w:r w:rsidRPr="00F730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14" w:tooltip="Imposto de Renda" w:history="1">
        <w:r w:rsidRPr="00F7306B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Imposto de Renda</w:t>
        </w:r>
      </w:hyperlink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exemplo;</w:t>
      </w:r>
    </w:p>
    <w:p w:rsidR="009F771A" w:rsidRPr="009F771A" w:rsidRDefault="009F771A" w:rsidP="0016764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Extrafiscal: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o objetivo é interferir no domínio econômico, buscando </w:t>
      </w:r>
      <w:proofErr w:type="gramStart"/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regular determinados</w:t>
      </w:r>
      <w:proofErr w:type="gramEnd"/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setores da economia. As mudanças no</w:t>
      </w:r>
      <w:r w:rsidRPr="00F730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15" w:tooltip="IPI" w:history="1">
        <w:r w:rsidRPr="00F7306B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IPI</w:t>
        </w:r>
      </w:hyperlink>
      <w:r w:rsidRPr="00F730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possuem essa função;</w:t>
      </w:r>
    </w:p>
    <w:p w:rsidR="003613E1" w:rsidRDefault="009F771A" w:rsidP="0016764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Parafiscal</w:t>
      </w:r>
      <w:proofErr w:type="spellEnd"/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ocorre a delegação, pela pessoa política (União, Estados-Membros, Distrito Federal e </w:t>
      </w:r>
      <w:r w:rsidR="003613E1"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Municípios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mediante lei, da capacidade tributária ativa </w:t>
      </w:r>
      <w:proofErr w:type="gramStart"/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terceira pessoa (de direito público ou privado), de forma que esta arrecade o tributo, fiscalize sua exigência e utilize-se dos recursos auferidos para a </w:t>
      </w:r>
      <w:r w:rsidR="003613E1"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consecução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seus fins. Por exemplo, a contribuição anual paga pelos advogados à OAB.</w:t>
      </w:r>
    </w:p>
    <w:p w:rsidR="003613E1" w:rsidRPr="003613E1" w:rsidRDefault="003613E1" w:rsidP="0016764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1A" w:rsidRPr="009F771A" w:rsidRDefault="003613E1" w:rsidP="00167640">
      <w:pPr>
        <w:spacing w:after="0" w:line="240" w:lineRule="auto"/>
        <w:ind w:firstLine="709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IMPOSTOS</w:t>
      </w:r>
    </w:p>
    <w:p w:rsidR="003613E1" w:rsidRPr="00D604AA" w:rsidRDefault="003613E1" w:rsidP="0016764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É a imposição de um encargo financeiro ou outro tributo sobre o contribuinte (pessoa física ou jurídica) por um estado ou o equivalente funcional de um estado a partir da ocorrência de um </w:t>
      </w:r>
      <w:hyperlink r:id="rId16" w:tooltip="Fato gerador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fato gerador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, calculada mediante a aplicação de uma </w:t>
      </w:r>
      <w:hyperlink r:id="rId17" w:tooltip="Alíquota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alíquota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a uma </w:t>
      </w:r>
      <w:hyperlink r:id="rId18" w:tooltip="Base de cálcul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base de cálculo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forma que o não pagamento deste, acarreta irremediavelmente sanções civis e penais impostas à entidade ou indivíduo </w:t>
      </w:r>
      <w:proofErr w:type="spellStart"/>
      <w:proofErr w:type="gramStart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não-pagador</w:t>
      </w:r>
      <w:proofErr w:type="spellEnd"/>
      <w:proofErr w:type="gramEnd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forma de leis. O imposto é uma das espécies do gênero </w:t>
      </w:r>
      <w:hyperlink r:id="rId19" w:tooltip="Tribut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tributo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. Diferentemente de outros tributos, como </w:t>
      </w:r>
      <w:hyperlink r:id="rId20" w:tooltip="Taxa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taxas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21" w:tooltip="Contribuição de melhoria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contribuição de melhoria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, é um tributo não vinculado: é devido pelo contribuinte independentemente de qualquer contraprestação por parte do </w:t>
      </w:r>
      <w:hyperlink r:id="rId22" w:tooltip="Estad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Estado</w:t>
        </w:r>
      </w:hyperlink>
      <w:hyperlink r:id="rId23" w:anchor="cite_note-2" w:history="1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. Destina-se a atender as despesas gerais da </w:t>
      </w:r>
      <w:hyperlink r:id="rId24" w:tooltip="Administraçã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administração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, pelo que só pode ser exigido pela </w:t>
      </w:r>
      <w:hyperlink r:id="rId25" w:tooltip="Pessoa jurídica de direito públic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pessoa jurídica de direito público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interno que tiver competência constitucional para tal.</w:t>
      </w:r>
    </w:p>
    <w:p w:rsidR="003613E1" w:rsidRPr="00D604AA" w:rsidRDefault="003613E1" w:rsidP="0016764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impostos são </w:t>
      </w:r>
      <w:r w:rsidR="00D604AA"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frequentemente</w:t>
      </w:r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divididos em diretos e indiretos. Os impostos diretos são destinados taxar diretamente o contribuinte sendo que, o principal exemplo deste é o </w:t>
      </w:r>
      <w:hyperlink r:id="rId26" w:tooltip="Imposto de renda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imposto de renda e riqueza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. Os impostos indiretos, entretanto, são repassados ao contribuinte através do </w:t>
      </w:r>
      <w:hyperlink r:id="rId27" w:tooltip="Markup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mark</w:t>
        </w:r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u</w:t>
        </w:r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adicionado ao custo do produtor e o reflexo deste é sentido no preço final do</w:t>
      </w:r>
      <w:r w:rsidR="00CB393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produtos. Os impostos indiretos são cobrados em todos os bens adquiridos pelo consumidor</w:t>
      </w:r>
      <w:r w:rsidR="00B04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613E1" w:rsidRPr="00D604AA" w:rsidRDefault="003613E1" w:rsidP="0016764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Em tese, os recursos arrecadados pelos governos são revertidos para o </w:t>
      </w:r>
      <w:hyperlink r:id="rId28" w:tooltip="Bem comum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bem comum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 </w:t>
      </w:r>
      <w:hyperlink r:id="rId29" w:tooltip="Investiment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investimentos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30" w:tooltip="Custei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custeio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de </w:t>
      </w:r>
      <w:hyperlink r:id="rId31" w:tooltip="Bem (economia)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bens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B04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serviços públicos, </w:t>
      </w:r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como </w:t>
      </w:r>
      <w:hyperlink r:id="rId32" w:tooltip="Saúde pública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saúde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hyperlink r:id="rId33" w:tooltip="Segurança pública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segurança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34" w:tooltip="Ensino público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educação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. Mas não há vinculação entre </w:t>
      </w:r>
      <w:hyperlink r:id="rId35" w:tooltip="Receita (economia)" w:history="1">
        <w:r w:rsidRPr="00D604AA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receitas</w:t>
        </w:r>
      </w:hyperlink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impostos e determinada finalidade - ao contrário do que ocorre com as taxas e a contribuição de melhoria, cujas receitas são vinculadas à prestação de </w:t>
      </w:r>
      <w:proofErr w:type="gramStart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determinado</w:t>
      </w:r>
      <w:proofErr w:type="gramEnd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</w:t>
      </w:r>
      <w:proofErr w:type="gramEnd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realização de determinada obra. Embora a lei obrigue os governos a destinarem parcelas mínimas da arrecadação a certos se</w:t>
      </w:r>
      <w:r w:rsidR="00B042CA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viços públicos - em especial de educação e saúde -, o pagamento de impostos não confere ao contribuinte qualquer garantia de </w:t>
      </w:r>
      <w:proofErr w:type="gramStart"/>
      <w:r w:rsidRPr="00D604AA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contrapartida</w:t>
      </w:r>
      <w:proofErr w:type="gramEnd"/>
    </w:p>
    <w:p w:rsidR="003613E1" w:rsidRDefault="003613E1" w:rsidP="0016764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1A" w:rsidRPr="009F771A" w:rsidRDefault="009F771A" w:rsidP="0016764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São tributos</w:t>
      </w:r>
      <w:r w:rsidR="00B04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contribuições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cuja obrigação tem por fato gerador uma</w:t>
      </w:r>
      <w:r w:rsidRPr="005B3F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F77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situação</w:t>
      </w:r>
      <w:r w:rsidRPr="005B3F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independente de qualquer atividade estatal específica, relativa ao contribuinte. Os impostos se caracterizam por serem de cobrança compulsória e por não darem um retorno ao contribuinte sobre o fato gerador. Por exemplo, um imposto sobre posse de</w:t>
      </w:r>
      <w:r w:rsidRPr="005B3F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36" w:tooltip="Automóvel" w:history="1">
        <w:r w:rsidRPr="002663C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automóvel</w:t>
        </w:r>
      </w:hyperlink>
      <w:r w:rsidRPr="002663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F771A">
        <w:rPr>
          <w:rFonts w:ascii="Times New Roman" w:eastAsia="Times New Roman" w:hAnsi="Times New Roman" w:cs="Times New Roman"/>
          <w:sz w:val="24"/>
          <w:szCs w:val="24"/>
          <w:lang w:eastAsia="pt-BR"/>
        </w:rPr>
        <w:t>não necessariamente será revertido em melhorias das condições das vias urb</w:t>
      </w:r>
      <w:r w:rsidR="002663C8" w:rsidRPr="002663C8">
        <w:rPr>
          <w:rFonts w:ascii="Times New Roman" w:eastAsia="Times New Roman" w:hAnsi="Times New Roman" w:cs="Times New Roman"/>
          <w:sz w:val="24"/>
          <w:szCs w:val="24"/>
          <w:lang w:eastAsia="pt-BR"/>
        </w:rPr>
        <w:t>anas ou rodovias. Principais.</w:t>
      </w:r>
    </w:p>
    <w:p w:rsidR="00F7306B" w:rsidRDefault="00F7306B" w:rsidP="0016764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F771A" w:rsidRPr="002663C8" w:rsidRDefault="002663C8" w:rsidP="0016764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TAXA</w:t>
      </w:r>
      <w:r w:rsidR="009F771A" w:rsidRPr="00266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F771A" w:rsidRPr="002663C8">
        <w:rPr>
          <w:rFonts w:ascii="Times New Roman" w:hAnsi="Times New Roman" w:cs="Times New Roman"/>
          <w:sz w:val="24"/>
          <w:szCs w:val="24"/>
          <w:shd w:val="clear" w:color="auto" w:fill="FFFFFF"/>
        </w:rPr>
        <w:t>é a exigência financeira a pessoa privada ou jurídica para usar certos serviços fundamentais, ou pelo</w:t>
      </w:r>
      <w:r w:rsidR="009F771A" w:rsidRPr="00266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7" w:tooltip="Exercício do poder de polícia" w:history="1">
        <w:r w:rsidR="009F771A" w:rsidRPr="002663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exercício do poder de polícia</w:t>
        </w:r>
      </w:hyperlink>
      <w:r w:rsidR="009F771A" w:rsidRPr="002663C8">
        <w:rPr>
          <w:rFonts w:ascii="Times New Roman" w:hAnsi="Times New Roman" w:cs="Times New Roman"/>
          <w:sz w:val="24"/>
          <w:szCs w:val="24"/>
          <w:shd w:val="clear" w:color="auto" w:fill="FFFFFF"/>
        </w:rPr>
        <w:t>, imposta pelo governo ou alguma organização política ou governamental. É uma das formas de</w:t>
      </w:r>
      <w:r w:rsidR="009F771A" w:rsidRPr="00266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8" w:tooltip="Tributo" w:history="1">
        <w:r w:rsidR="009F771A" w:rsidRPr="002663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tributo</w:t>
        </w:r>
      </w:hyperlink>
      <w:r w:rsidR="009F771A" w:rsidRPr="002663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Na legislação tributária brasileira,</w:t>
      </w:r>
      <w:r w:rsidRPr="005B3F60">
        <w:rPr>
          <w:rStyle w:val="apple-converted-space"/>
        </w:rPr>
        <w:t> </w:t>
      </w:r>
      <w:r w:rsidRPr="005B3F60">
        <w:rPr>
          <w:b/>
          <w:bCs/>
        </w:rPr>
        <w:t>taxa</w:t>
      </w:r>
      <w:r w:rsidRPr="005B3F60">
        <w:rPr>
          <w:rStyle w:val="apple-converted-space"/>
        </w:rPr>
        <w:t> </w:t>
      </w:r>
      <w:r w:rsidRPr="005B3F60">
        <w:t>é um</w:t>
      </w:r>
      <w:r w:rsidRPr="005B3F60">
        <w:rPr>
          <w:rStyle w:val="apple-converted-space"/>
        </w:rPr>
        <w:t> </w:t>
      </w:r>
      <w:hyperlink r:id="rId39" w:tooltip="Tributo" w:history="1">
        <w:r w:rsidRPr="005B3F60">
          <w:rPr>
            <w:rStyle w:val="Hyperlink"/>
            <w:color w:val="auto"/>
            <w:u w:val="none"/>
          </w:rPr>
          <w:t>tributo</w:t>
        </w:r>
      </w:hyperlink>
      <w:r w:rsidRPr="005B3F60">
        <w:rPr>
          <w:rStyle w:val="apple-converted-space"/>
        </w:rPr>
        <w:t> </w:t>
      </w:r>
      <w:r w:rsidRPr="005B3F60">
        <w:t xml:space="preserve">em que "a contraprestação de serviços públicos ou de benefícios feitos, postos à disposição ou custeados pelo </w:t>
      </w:r>
      <w:r w:rsidRPr="005B3F60">
        <w:lastRenderedPageBreak/>
        <w:t>Estado, em favor de quem paga ou por este provocado" (definição de</w:t>
      </w:r>
      <w:r w:rsidRPr="005B3F60">
        <w:rPr>
          <w:rStyle w:val="apple-converted-space"/>
        </w:rPr>
        <w:t> </w:t>
      </w:r>
      <w:proofErr w:type="spellStart"/>
      <w:r w:rsidRPr="005B3F60">
        <w:rPr>
          <w:i/>
          <w:iCs/>
        </w:rPr>
        <w:t>Aliomar</w:t>
      </w:r>
      <w:proofErr w:type="spellEnd"/>
      <w:r w:rsidRPr="005B3F60">
        <w:rPr>
          <w:i/>
          <w:iCs/>
        </w:rPr>
        <w:t xml:space="preserve"> Baleeiro</w:t>
      </w:r>
      <w:r w:rsidRPr="005B3F60">
        <w:t>, amplamente utilizada nos circuitos jurídicos).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Ou seja, é uma quantia</w:t>
      </w:r>
      <w:r w:rsidRPr="005B3F60">
        <w:rPr>
          <w:rStyle w:val="apple-converted-space"/>
        </w:rPr>
        <w:t> </w:t>
      </w:r>
      <w:r w:rsidRPr="005B3F60">
        <w:rPr>
          <w:b/>
          <w:bCs/>
        </w:rPr>
        <w:t>obrigatória</w:t>
      </w:r>
      <w:r w:rsidRPr="005B3F60">
        <w:rPr>
          <w:rStyle w:val="apple-converted-space"/>
        </w:rPr>
        <w:t> </w:t>
      </w:r>
      <w:r w:rsidRPr="005B3F60">
        <w:t>em dinheiro paga em troca de algum serviço público</w:t>
      </w:r>
      <w:r w:rsidRPr="005B3F60">
        <w:rPr>
          <w:rStyle w:val="apple-converted-space"/>
        </w:rPr>
        <w:t> </w:t>
      </w:r>
      <w:r w:rsidRPr="005B3F60">
        <w:rPr>
          <w:b/>
          <w:bCs/>
        </w:rPr>
        <w:t>fundamental</w:t>
      </w:r>
      <w:r w:rsidRPr="005B3F60">
        <w:rPr>
          <w:rStyle w:val="apple-converted-space"/>
        </w:rPr>
        <w:t> </w:t>
      </w:r>
      <w:r w:rsidRPr="005B3F60">
        <w:t>(ou para o</w:t>
      </w:r>
      <w:r w:rsidRPr="005B3F60">
        <w:rPr>
          <w:rStyle w:val="apple-converted-space"/>
        </w:rPr>
        <w:t> </w:t>
      </w:r>
      <w:hyperlink r:id="rId40" w:tooltip="Exercício do poder de polícia" w:history="1">
        <w:r w:rsidRPr="005B3F60">
          <w:rPr>
            <w:rStyle w:val="Hyperlink"/>
            <w:color w:val="auto"/>
            <w:u w:val="none"/>
          </w:rPr>
          <w:t>exercício do poder de polícia</w:t>
        </w:r>
      </w:hyperlink>
      <w:r w:rsidRPr="005B3F60">
        <w:t>), oferecido</w:t>
      </w:r>
      <w:r w:rsidRPr="005B3F60">
        <w:rPr>
          <w:rStyle w:val="apple-converted-space"/>
        </w:rPr>
        <w:t> </w:t>
      </w:r>
      <w:r w:rsidRPr="005B3F60">
        <w:rPr>
          <w:b/>
          <w:bCs/>
        </w:rPr>
        <w:t>diretamente</w:t>
      </w:r>
      <w:r w:rsidRPr="005B3F60">
        <w:rPr>
          <w:rStyle w:val="apple-converted-space"/>
        </w:rPr>
        <w:t> </w:t>
      </w:r>
      <w:r w:rsidRPr="005B3F60">
        <w:t>pelo Estado.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A taxa, assim como os demais tributos, possui base de cálculo a ser definida na lei instituidora. No entanto, a base de cálculo deve ser diversa daquela determinada aos impostos, diante da vedação expressa na Constituição Federal. Além disso, a base de cálculo deve ter correlação ao custo da atividade prestada pelo Estado, caso contrário haverá o enriquecimento sem causa, fato não permitido pelo Direito. Os valores dependem apenas do serviço prestado. Taxas também são vinculados a um destino: à manutenção e desenvolvimento do próprio serviço prestado.</w:t>
      </w:r>
      <w:r w:rsidR="002663C8">
        <w:t xml:space="preserve"> </w:t>
      </w:r>
      <w:proofErr w:type="gramStart"/>
      <w:r w:rsidRPr="005B3F60">
        <w:t>Sob pena</w:t>
      </w:r>
      <w:proofErr w:type="gramEnd"/>
      <w:r w:rsidRPr="005B3F60">
        <w:t xml:space="preserve"> de se configurar a proibida "</w:t>
      </w:r>
      <w:proofErr w:type="spellStart"/>
      <w:r w:rsidRPr="005B3F60">
        <w:t>bi-tributação</w:t>
      </w:r>
      <w:proofErr w:type="spellEnd"/>
      <w:r w:rsidRPr="005B3F60">
        <w:t>", não pode ser cobrada Taxa dos serviços ou circunstâncias que servem como "base de cálculo" de qualquer outro tributo.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Um conceito bastante similar é</w:t>
      </w:r>
      <w:r w:rsidR="003334D5">
        <w:t xml:space="preserve"> o</w:t>
      </w:r>
      <w:r w:rsidRPr="005B3F60">
        <w:t xml:space="preserve"> de</w:t>
      </w:r>
      <w:r w:rsidRPr="005B3F60">
        <w:rPr>
          <w:rStyle w:val="apple-converted-space"/>
        </w:rPr>
        <w:t> </w:t>
      </w:r>
      <w:hyperlink r:id="rId41" w:tooltip="Tarifa" w:history="1">
        <w:r w:rsidRPr="005B3F60">
          <w:rPr>
            <w:rStyle w:val="Hyperlink"/>
            <w:color w:val="auto"/>
            <w:u w:val="none"/>
          </w:rPr>
          <w:t>tarifa</w:t>
        </w:r>
      </w:hyperlink>
      <w:r w:rsidRPr="005B3F60">
        <w:t>. Em</w:t>
      </w:r>
      <w:r w:rsidRPr="005B3F60">
        <w:rPr>
          <w:rStyle w:val="apple-converted-space"/>
        </w:rPr>
        <w:t> </w:t>
      </w:r>
      <w:hyperlink r:id="rId42" w:tooltip="Tarifa" w:history="1">
        <w:r w:rsidRPr="005B3F60">
          <w:rPr>
            <w:rStyle w:val="Hyperlink"/>
            <w:color w:val="auto"/>
            <w:u w:val="none"/>
          </w:rPr>
          <w:t>tarifa</w:t>
        </w:r>
      </w:hyperlink>
      <w:r w:rsidRPr="005B3F60">
        <w:rPr>
          <w:rStyle w:val="apple-converted-space"/>
        </w:rPr>
        <w:t> </w:t>
      </w:r>
      <w:r w:rsidRPr="005B3F60">
        <w:t>o serviço prestado é facultativo, e o pagamento é coletado indiretamente pelo Estado, através de terceiros.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Exemplos de taxas são as taxas de recolhimento de lixo urbano, pedágios em rodovias estatais, etc.</w:t>
      </w:r>
    </w:p>
    <w:p w:rsidR="003334D5" w:rsidRDefault="003334D5" w:rsidP="00167640">
      <w:pPr>
        <w:pStyle w:val="NormalWeb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</w:p>
    <w:p w:rsidR="005B3F60" w:rsidRPr="005B3F60" w:rsidRDefault="005B3F60" w:rsidP="0016764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rPr>
          <w:rStyle w:val="nfase"/>
          <w:b/>
          <w:bCs/>
        </w:rPr>
        <w:t>CTRC</w:t>
      </w:r>
      <w:r w:rsidR="003334D5">
        <w:rPr>
          <w:rStyle w:val="nfase"/>
          <w:b/>
          <w:bCs/>
        </w:rPr>
        <w:t xml:space="preserve"> 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A sigla CTRC significa “Conhecimento de Transporte Rodoviário de Cargas”, ou seja, o CTRC é o documento onde se encontra toda a informação inerente ao transporte de uma mercadoria.</w:t>
      </w:r>
    </w:p>
    <w:p w:rsidR="003334D5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As principais informações contidas neste documento são:</w:t>
      </w:r>
    </w:p>
    <w:p w:rsidR="003334D5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Dados do Remetente</w:t>
      </w:r>
    </w:p>
    <w:p w:rsidR="003334D5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Dados do Destinatário</w:t>
      </w:r>
    </w:p>
    <w:p w:rsidR="003334D5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Local de Entrega</w:t>
      </w:r>
    </w:p>
    <w:p w:rsidR="003334D5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Peso Total</w:t>
      </w:r>
    </w:p>
    <w:p w:rsidR="003334D5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Quantidade de Volumes</w:t>
      </w:r>
    </w:p>
    <w:p w:rsidR="003334D5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Notas Fiscais</w:t>
      </w:r>
    </w:p>
    <w:p w:rsidR="00167640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Valor da Mercadoria</w:t>
      </w:r>
    </w:p>
    <w:p w:rsidR="00167640" w:rsidRDefault="009F771A" w:rsidP="0016764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709"/>
        <w:contextualSpacing/>
      </w:pPr>
      <w:r w:rsidRPr="005B3F60">
        <w:t>Valor do Transporte</w:t>
      </w:r>
      <w:r w:rsidR="00167640">
        <w:t>;</w:t>
      </w:r>
      <w:r w:rsidRPr="005B3F60">
        <w:t xml:space="preserve"> </w:t>
      </w:r>
      <w:proofErr w:type="spellStart"/>
      <w:r w:rsidRPr="005B3F60">
        <w:t>Etc</w:t>
      </w:r>
      <w:proofErr w:type="spellEnd"/>
      <w:r w:rsidRPr="005B3F60">
        <w:t>…</w:t>
      </w:r>
    </w:p>
    <w:p w:rsidR="009F771A" w:rsidRPr="005B3F60" w:rsidRDefault="009F771A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O CTRC é emitido assim que a mercadoria chega ao Terminal de Cargas para ser enviada e é baixada quando é realizada a entrega ao destinatário.</w:t>
      </w:r>
      <w:r w:rsidR="00167640">
        <w:t xml:space="preserve"> </w:t>
      </w:r>
      <w:r w:rsidRPr="005B3F60">
        <w:t>O CTRC é também o comprovante de entrega.</w:t>
      </w:r>
    </w:p>
    <w:p w:rsidR="00F7306B" w:rsidRDefault="00F7306B" w:rsidP="00167640">
      <w:pPr>
        <w:pStyle w:val="NormalWeb"/>
        <w:spacing w:before="0" w:beforeAutospacing="0" w:after="0" w:afterAutospacing="0"/>
        <w:ind w:firstLine="709"/>
        <w:contextualSpacing/>
        <w:rPr>
          <w:rStyle w:val="nfase"/>
          <w:b/>
          <w:bCs/>
        </w:rPr>
      </w:pPr>
    </w:p>
    <w:p w:rsidR="00835143" w:rsidRPr="005B3F60" w:rsidRDefault="00835143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rPr>
          <w:rStyle w:val="nfase"/>
          <w:b/>
          <w:bCs/>
        </w:rPr>
        <w:t>ICMS</w:t>
      </w:r>
    </w:p>
    <w:p w:rsidR="00835143" w:rsidRPr="005B3F60" w:rsidRDefault="00835143" w:rsidP="00167640">
      <w:pPr>
        <w:pStyle w:val="NormalWeb"/>
        <w:spacing w:before="0" w:beforeAutospacing="0" w:after="0" w:afterAutospacing="0"/>
        <w:ind w:firstLine="709"/>
        <w:contextualSpacing/>
      </w:pPr>
      <w:r w:rsidRPr="005B3F60">
        <w:t>O ICMS - Imposto sobre Circulação de Mercadorias e Prestação de Serviços - é um imposto de competência estadual. Ele incide (base de cálculo) sobre a circulação de mercadorias, prestações de serviços de transporte interestadual, ou intermunicipal, de comunicações, de energia elétrica. Também sobre a entrada de mercadorias importadas e serviços prestados no exterior.</w:t>
      </w:r>
      <w:r w:rsidR="00167640">
        <w:t xml:space="preserve"> </w:t>
      </w:r>
      <w:r w:rsidRPr="005B3F60">
        <w:t xml:space="preserve">O fato gerador é </w:t>
      </w:r>
      <w:proofErr w:type="gramStart"/>
      <w:r w:rsidRPr="005B3F60">
        <w:t>a</w:t>
      </w:r>
      <w:proofErr w:type="gramEnd"/>
      <w:r w:rsidRPr="005B3F60">
        <w:t xml:space="preserve"> saída da mercadoria do estabelecimento do contribuinte, fornecimento de refeições, prestação de serviços de transporte, entre outros.</w:t>
      </w:r>
      <w:r w:rsidR="00167640">
        <w:t xml:space="preserve"> </w:t>
      </w:r>
      <w:r w:rsidRPr="005B3F60">
        <w:t>Cada Estado da Federação tem liberdade para adotar regras próprias relativas à cobrança desse imposto, respeitados os requisitos mínimos fixados na Constituição Federal e pelo Código Tributário Nacional.</w:t>
      </w:r>
    </w:p>
    <w:sectPr w:rsidR="00835143" w:rsidRPr="005B3F60" w:rsidSect="00984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7DF"/>
    <w:multiLevelType w:val="multilevel"/>
    <w:tmpl w:val="A7E6B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B1A80"/>
    <w:multiLevelType w:val="hybridMultilevel"/>
    <w:tmpl w:val="B03C89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71A"/>
    <w:rsid w:val="00167640"/>
    <w:rsid w:val="002663C8"/>
    <w:rsid w:val="003334D5"/>
    <w:rsid w:val="003613E1"/>
    <w:rsid w:val="005B3F60"/>
    <w:rsid w:val="00670A8E"/>
    <w:rsid w:val="00825C4D"/>
    <w:rsid w:val="00835143"/>
    <w:rsid w:val="009848F3"/>
    <w:rsid w:val="009F771A"/>
    <w:rsid w:val="00B042CA"/>
    <w:rsid w:val="00CB3939"/>
    <w:rsid w:val="00D604AA"/>
    <w:rsid w:val="00F7306B"/>
    <w:rsid w:val="00FA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F3"/>
  </w:style>
  <w:style w:type="paragraph" w:styleId="Ttulo3">
    <w:name w:val="heading 3"/>
    <w:basedOn w:val="Normal"/>
    <w:link w:val="Ttulo3Char"/>
    <w:uiPriority w:val="9"/>
    <w:qFormat/>
    <w:rsid w:val="009F7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F77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771A"/>
  </w:style>
  <w:style w:type="character" w:styleId="Hyperlink">
    <w:name w:val="Hyperlink"/>
    <w:basedOn w:val="Fontepargpadro"/>
    <w:uiPriority w:val="99"/>
    <w:semiHidden/>
    <w:unhideWhenUsed/>
    <w:rsid w:val="009F771A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F77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F77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9F771A"/>
  </w:style>
  <w:style w:type="character" w:customStyle="1" w:styleId="editsection">
    <w:name w:val="editsection"/>
    <w:basedOn w:val="Fontepargpadro"/>
    <w:rsid w:val="009F771A"/>
  </w:style>
  <w:style w:type="paragraph" w:styleId="Textodebalo">
    <w:name w:val="Balloon Text"/>
    <w:basedOn w:val="Normal"/>
    <w:link w:val="TextodebaloChar"/>
    <w:uiPriority w:val="99"/>
    <w:semiHidden/>
    <w:unhideWhenUsed/>
    <w:rsid w:val="009F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71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F771A"/>
    <w:rPr>
      <w:i/>
      <w:iCs/>
    </w:rPr>
  </w:style>
  <w:style w:type="character" w:styleId="Forte">
    <w:name w:val="Strong"/>
    <w:basedOn w:val="Fontepargpadro"/>
    <w:uiPriority w:val="22"/>
    <w:qFormat/>
    <w:rsid w:val="005B3F60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D604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Trabalho" TargetMode="External"/><Relationship Id="rId13" Type="http://schemas.openxmlformats.org/officeDocument/2006/relationships/hyperlink" Target="http://pt.wikipedia.org/w/index.php?title=Contribui%C3%A7%C3%A3o_de_ilumina%C3%A7%C3%A3o_p%C3%BAblica&amp;action=edit&amp;redlink=1" TargetMode="External"/><Relationship Id="rId18" Type="http://schemas.openxmlformats.org/officeDocument/2006/relationships/hyperlink" Target="http://pt.wikipedia.org/wiki/Base_de_c%C3%A1lculo" TargetMode="External"/><Relationship Id="rId26" Type="http://schemas.openxmlformats.org/officeDocument/2006/relationships/hyperlink" Target="http://pt.wikipedia.org/wiki/Imposto_de_renda" TargetMode="External"/><Relationship Id="rId39" Type="http://schemas.openxmlformats.org/officeDocument/2006/relationships/hyperlink" Target="http://pt.wikipedia.org/wiki/Tribu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t.wikipedia.org/wiki/Contribui%C3%A7%C3%A3o_de_melhoria" TargetMode="External"/><Relationship Id="rId34" Type="http://schemas.openxmlformats.org/officeDocument/2006/relationships/hyperlink" Target="http://pt.wikipedia.org/wiki/Ensino_p%C3%BAblico" TargetMode="External"/><Relationship Id="rId42" Type="http://schemas.openxmlformats.org/officeDocument/2006/relationships/hyperlink" Target="http://pt.wikipedia.org/wiki/Tarifa" TargetMode="External"/><Relationship Id="rId7" Type="http://schemas.openxmlformats.org/officeDocument/2006/relationships/hyperlink" Target="http://pt.wikipedia.org/wiki/Dinheiro" TargetMode="External"/><Relationship Id="rId12" Type="http://schemas.openxmlformats.org/officeDocument/2006/relationships/hyperlink" Target="http://pt.wikipedia.org/wiki/Lei" TargetMode="External"/><Relationship Id="rId17" Type="http://schemas.openxmlformats.org/officeDocument/2006/relationships/hyperlink" Target="http://pt.wikipedia.org/wiki/Al%C3%ADquota" TargetMode="External"/><Relationship Id="rId25" Type="http://schemas.openxmlformats.org/officeDocument/2006/relationships/hyperlink" Target="http://pt.wikipedia.org/wiki/Pessoa_jur%C3%ADdica_de_direito_p%C3%BAblico" TargetMode="External"/><Relationship Id="rId33" Type="http://schemas.openxmlformats.org/officeDocument/2006/relationships/hyperlink" Target="http://pt.wikipedia.org/wiki/Seguran%C3%A7a_p%C3%BAblica" TargetMode="External"/><Relationship Id="rId38" Type="http://schemas.openxmlformats.org/officeDocument/2006/relationships/hyperlink" Target="http://pt.wikipedia.org/wiki/Tributo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Fato_gerador" TargetMode="External"/><Relationship Id="rId20" Type="http://schemas.openxmlformats.org/officeDocument/2006/relationships/hyperlink" Target="http://pt.wikipedia.org/wiki/Taxa" TargetMode="External"/><Relationship Id="rId29" Type="http://schemas.openxmlformats.org/officeDocument/2006/relationships/hyperlink" Target="http://pt.wikipedia.org/wiki/Investimento" TargetMode="External"/><Relationship Id="rId41" Type="http://schemas.openxmlformats.org/officeDocument/2006/relationships/hyperlink" Target="http://pt.wikipedia.org/wiki/Tari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Imposto" TargetMode="External"/><Relationship Id="rId11" Type="http://schemas.openxmlformats.org/officeDocument/2006/relationships/hyperlink" Target="http://pt.wikipedia.org/wiki/Moeda" TargetMode="External"/><Relationship Id="rId24" Type="http://schemas.openxmlformats.org/officeDocument/2006/relationships/hyperlink" Target="http://pt.wikipedia.org/wiki/Administra%C3%A7%C3%A3o" TargetMode="External"/><Relationship Id="rId32" Type="http://schemas.openxmlformats.org/officeDocument/2006/relationships/hyperlink" Target="http://pt.wikipedia.org/wiki/Sa%C3%BAde_p%C3%BAblica" TargetMode="External"/><Relationship Id="rId37" Type="http://schemas.openxmlformats.org/officeDocument/2006/relationships/hyperlink" Target="http://pt.wikipedia.org/wiki/Exerc%C3%ADcio_do_poder_de_pol%C3%ADcia" TargetMode="External"/><Relationship Id="rId40" Type="http://schemas.openxmlformats.org/officeDocument/2006/relationships/hyperlink" Target="http://pt.wikipedia.org/wiki/Exerc%C3%ADcio_do_poder_de_pol%C3%ADcia" TargetMode="External"/><Relationship Id="rId5" Type="http://schemas.openxmlformats.org/officeDocument/2006/relationships/hyperlink" Target="http://pt.wikipedia.org/wiki/Pessoa_jur%C3%ADdica" TargetMode="External"/><Relationship Id="rId15" Type="http://schemas.openxmlformats.org/officeDocument/2006/relationships/hyperlink" Target="http://pt.wikipedia.org/wiki/IPI" TargetMode="External"/><Relationship Id="rId23" Type="http://schemas.openxmlformats.org/officeDocument/2006/relationships/hyperlink" Target="http://pt.wikipedia.org/wiki/Imposto" TargetMode="External"/><Relationship Id="rId28" Type="http://schemas.openxmlformats.org/officeDocument/2006/relationships/hyperlink" Target="http://pt.wikipedia.org/wiki/Bem_comum" TargetMode="External"/><Relationship Id="rId36" Type="http://schemas.openxmlformats.org/officeDocument/2006/relationships/hyperlink" Target="http://pt.wikipedia.org/wiki/Autom%C3%B3vel" TargetMode="External"/><Relationship Id="rId10" Type="http://schemas.openxmlformats.org/officeDocument/2006/relationships/hyperlink" Target="http://pt.wikipedia.org/wiki/C%C3%B3digo_Tribut%C3%A1rio_Nacional" TargetMode="External"/><Relationship Id="rId19" Type="http://schemas.openxmlformats.org/officeDocument/2006/relationships/hyperlink" Target="http://pt.wikipedia.org/wiki/Tributo" TargetMode="External"/><Relationship Id="rId31" Type="http://schemas.openxmlformats.org/officeDocument/2006/relationships/hyperlink" Target="http://pt.wikipedia.org/wiki/Bem_(economia)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Idade_m%C3%A9dia" TargetMode="External"/><Relationship Id="rId14" Type="http://schemas.openxmlformats.org/officeDocument/2006/relationships/hyperlink" Target="http://pt.wikipedia.org/wiki/Imposto_de_Renda" TargetMode="External"/><Relationship Id="rId22" Type="http://schemas.openxmlformats.org/officeDocument/2006/relationships/hyperlink" Target="http://pt.wikipedia.org/wiki/Estado" TargetMode="External"/><Relationship Id="rId27" Type="http://schemas.openxmlformats.org/officeDocument/2006/relationships/hyperlink" Target="http://pt.wikipedia.org/wiki/Markup" TargetMode="External"/><Relationship Id="rId30" Type="http://schemas.openxmlformats.org/officeDocument/2006/relationships/hyperlink" Target="http://pt.wikipedia.org/wiki/Custeio" TargetMode="External"/><Relationship Id="rId35" Type="http://schemas.openxmlformats.org/officeDocument/2006/relationships/hyperlink" Target="http://pt.wikipedia.org/wiki/Receita_(economia)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1900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</dc:creator>
  <cp:lastModifiedBy>Maria de Lourdes</cp:lastModifiedBy>
  <cp:revision>1</cp:revision>
  <dcterms:created xsi:type="dcterms:W3CDTF">2012-03-06T17:13:00Z</dcterms:created>
  <dcterms:modified xsi:type="dcterms:W3CDTF">2012-03-06T19:11:00Z</dcterms:modified>
</cp:coreProperties>
</file>